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4962"/>
        <w:gridCol w:w="4678"/>
      </w:tblGrid>
      <w:tr>
        <w:trPr>
          <w:trHeight w:val="3701"/>
        </w:trPr>
        <w:tc>
          <w:tcPr>
            <w:tcW w:w="4962" w:type="dxa"/>
            <w:shd w:val="clear" w:color="auto" w:fill="auto"/>
          </w:tcPr>
          <w:p>
            <w:pPr>
              <w:keepNext/>
              <w:spacing w:before="260"/>
              <w:jc w:val="center"/>
              <w:outlineLvl w:val="3"/>
              <w:rPr>
                <w:bCs/>
                <w:color w:val="0062AC"/>
                <w:spacing w:val="4"/>
                <w:sz w:val="18"/>
                <w:szCs w:val="18"/>
              </w:rPr>
            </w:pPr>
            <w:r>
              <w:rPr>
                <w:bCs/>
                <w:color w:val="0062AC"/>
                <w:spacing w:val="4"/>
                <w:sz w:val="18"/>
                <w:szCs w:val="18"/>
              </w:rPr>
              <w:t>МИНИСТЕРСТВО ФИНАНСОВ</w:t>
            </w:r>
          </w:p>
          <w:p>
            <w:pPr>
              <w:keepNext/>
              <w:spacing w:after="160"/>
              <w:jc w:val="center"/>
              <w:outlineLvl w:val="3"/>
              <w:rPr>
                <w:bCs/>
                <w:color w:val="0062AC"/>
                <w:spacing w:val="4"/>
                <w:sz w:val="18"/>
                <w:szCs w:val="18"/>
              </w:rPr>
            </w:pPr>
            <w:r>
              <w:rPr>
                <w:bCs/>
                <w:color w:val="0062AC"/>
                <w:spacing w:val="4"/>
                <w:sz w:val="18"/>
                <w:szCs w:val="18"/>
              </w:rPr>
              <w:t>РОССИЙСКОЙ ФЕДЕРАЦИИ</w:t>
            </w:r>
          </w:p>
          <w:p>
            <w:pPr>
              <w:keepNext/>
              <w:jc w:val="center"/>
              <w:outlineLvl w:val="2"/>
              <w:rPr>
                <w:b/>
                <w:bCs/>
                <w:color w:val="0062AC"/>
                <w:spacing w:val="4"/>
              </w:rPr>
            </w:pPr>
            <w:r>
              <w:rPr>
                <w:b/>
                <w:bCs/>
                <w:color w:val="0062AC"/>
                <w:spacing w:val="4"/>
              </w:rPr>
              <w:t>ФЕДЕРАЛЬНОЕ КАЗНАЧЕЙСТВО</w:t>
            </w:r>
          </w:p>
          <w:p>
            <w:pPr>
              <w:keepNext/>
              <w:jc w:val="center"/>
              <w:outlineLvl w:val="2"/>
              <w:rPr>
                <w:b/>
                <w:bCs/>
                <w:color w:val="0062AC"/>
                <w:w w:val="110"/>
                <w:sz w:val="18"/>
                <w:szCs w:val="18"/>
              </w:rPr>
            </w:pPr>
            <w:r>
              <w:rPr>
                <w:b/>
                <w:bCs/>
                <w:color w:val="0062AC"/>
                <w:spacing w:val="4"/>
                <w:sz w:val="18"/>
                <w:szCs w:val="18"/>
              </w:rPr>
              <w:t>(КАЗНАЧЕЙСТВО РОССИИ)</w:t>
            </w:r>
          </w:p>
          <w:p>
            <w:pPr>
              <w:keepNext/>
              <w:spacing w:before="220" w:after="340"/>
              <w:jc w:val="center"/>
              <w:outlineLvl w:val="2"/>
              <w:rPr>
                <w:b/>
                <w:bCs/>
                <w:color w:val="0062AC"/>
                <w:spacing w:val="38"/>
                <w:w w:val="110"/>
              </w:rPr>
            </w:pPr>
            <w:r>
              <w:rPr>
                <w:b/>
                <w:bCs/>
                <w:snapToGrid w:val="0"/>
                <w:color w:val="0062AC"/>
                <w:spacing w:val="38"/>
              </w:rPr>
              <w:t>РУКОВОДИТЕЛ</w:t>
            </w:r>
            <w:r>
              <w:rPr>
                <w:b/>
                <w:bCs/>
                <w:snapToGrid w:val="0"/>
                <w:color w:val="0062AC"/>
              </w:rPr>
              <w:t>Ь</w:t>
            </w:r>
          </w:p>
          <w:p>
            <w:pPr>
              <w:jc w:val="center"/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</w:pPr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Большой Златоустинский переулок,</w:t>
            </w:r>
          </w:p>
          <w:p>
            <w:pPr>
              <w:jc w:val="center"/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</w:pPr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д. 6, стр. 1, г. Москва, 101000</w:t>
            </w:r>
          </w:p>
          <w:p>
            <w:pPr>
              <w:jc w:val="center"/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</w:pPr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тел. +7 (495) 214-72-97  факс +7 (495) 214-73-34</w:t>
            </w:r>
          </w:p>
          <w:p>
            <w:pPr>
              <w:tabs>
                <w:tab w:val="left" w:pos="2019"/>
              </w:tabs>
              <w:spacing w:after="100"/>
              <w:ind w:left="176" w:right="176"/>
              <w:jc w:val="center"/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</w:pPr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www</w:t>
            </w:r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.</w:t>
            </w:r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roskazna</w:t>
            </w:r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.</w:t>
            </w:r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ru</w:t>
            </w:r>
          </w:p>
          <w:p>
            <w:pPr>
              <w:tabs>
                <w:tab w:val="left" w:pos="2019"/>
              </w:tabs>
              <w:spacing w:after="100"/>
              <w:ind w:left="176" w:right="176"/>
              <w:jc w:val="center"/>
              <w:rPr>
                <w:bCs/>
                <w:snapToGrid w:val="0"/>
                <w:color w:val="0062AC"/>
                <w:sz w:val="18"/>
                <w:szCs w:val="18"/>
              </w:rPr>
            </w:pPr>
            <w:r>
              <w:rPr>
                <w:bCs/>
                <w:snapToGrid w:val="0"/>
                <w:color w:val="0062AC"/>
                <w:sz w:val="22"/>
                <w:szCs w:val="22"/>
                <w:u w:val="single"/>
              </w:rPr>
              <w:t>25.03.2022</w:t>
            </w:r>
            <w:r>
              <w:rPr>
                <w:bCs/>
                <w:snapToGrid w:val="0"/>
                <w:color w:val="0062AC"/>
                <w:sz w:val="18"/>
                <w:szCs w:val="18"/>
              </w:rPr>
              <w:t xml:space="preserve">  №  </w:t>
            </w:r>
            <w:r>
              <w:rPr>
                <w:bCs/>
                <w:snapToGrid w:val="0"/>
                <w:color w:val="0062AC"/>
                <w:sz w:val="22"/>
                <w:szCs w:val="22"/>
                <w:u w:val="single"/>
              </w:rPr>
              <w:t>07-04-05/01-6983</w:t>
            </w:r>
          </w:p>
          <w:p>
            <w:pPr>
              <w:tabs>
                <w:tab w:val="left" w:pos="743"/>
              </w:tabs>
              <w:ind w:left="176"/>
              <w:rPr>
                <w:bCs/>
                <w:snapToGrid w:val="0"/>
                <w:color w:val="0070C0"/>
                <w:sz w:val="18"/>
                <w:szCs w:val="18"/>
              </w:rPr>
            </w:pPr>
            <w:r>
              <w:rPr>
                <w:noProof/>
                <w:color w:val="0062AC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417830</wp:posOffset>
                      </wp:positionH>
                      <wp:positionV relativeFrom="paragraph">
                        <wp:posOffset>188595</wp:posOffset>
                      </wp:positionV>
                      <wp:extent cx="2160270" cy="0"/>
                      <wp:effectExtent l="8255" t="7620" r="12700" b="1143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027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algn="ctr">
                                <a:solidFill>
                                  <a:srgbClr val="0062A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2.9pt,14.85pt" to="203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" strokecolor="#0062ac" strokeweight=".25pt"/>
                  </w:pict>
                </mc:Fallback>
              </mc:AlternateContent>
            </w:r>
            <w:r>
              <w:rPr>
                <w:bCs/>
                <w:snapToGrid w:val="0"/>
                <w:color w:val="0062AC"/>
                <w:sz w:val="18"/>
                <w:szCs w:val="18"/>
              </w:rPr>
              <w:t>На №</w:t>
            </w:r>
          </w:p>
        </w:tc>
        <w:tc>
          <w:tcPr>
            <w:tcW w:w="4678" w:type="dxa"/>
            <w:shd w:val="clear" w:color="auto" w:fill="auto"/>
          </w:tcPr>
          <w:p>
            <w:pPr>
              <w:spacing w:line="360" w:lineRule="atLeast"/>
              <w:ind w:left="34" w:right="34"/>
              <w:jc w:val="center"/>
              <w:rPr>
                <w:sz w:val="28"/>
                <w:szCs w:val="28"/>
              </w:rPr>
            </w:pPr>
          </w:p>
          <w:p>
            <w:pPr>
              <w:spacing w:line="360" w:lineRule="atLeast"/>
              <w:ind w:left="34" w:right="34"/>
              <w:jc w:val="center"/>
              <w:rPr>
                <w:sz w:val="28"/>
                <w:szCs w:val="28"/>
              </w:rPr>
            </w:pPr>
          </w:p>
          <w:p>
            <w:pPr>
              <w:spacing w:line="360" w:lineRule="atLeast"/>
              <w:ind w:left="34"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Межрегиональное операционное управление Федерального казначейства</w:t>
            </w:r>
          </w:p>
          <w:p>
            <w:pPr>
              <w:spacing w:line="360" w:lineRule="atLeast"/>
              <w:ind w:left="34" w:right="34"/>
              <w:jc w:val="center"/>
              <w:rPr>
                <w:sz w:val="28"/>
                <w:szCs w:val="28"/>
              </w:rPr>
            </w:pPr>
          </w:p>
          <w:p>
            <w:pPr>
              <w:spacing w:line="360" w:lineRule="atLeast"/>
              <w:ind w:left="34"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Управления Федерального казначейства по субъектам Российской Федерации</w:t>
            </w:r>
          </w:p>
        </w:tc>
      </w:tr>
      <w:tr>
        <w:tc>
          <w:tcPr>
            <w:tcW w:w="4962" w:type="dxa"/>
            <w:shd w:val="clear" w:color="auto" w:fill="auto"/>
          </w:tcPr>
          <w:p>
            <w:pPr>
              <w:pStyle w:val="ConsPlusNormal"/>
              <w:ind w:left="284"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О расширении перечня выплат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на банковские карты «Мир»</w:t>
            </w:r>
          </w:p>
        </w:tc>
        <w:tc>
          <w:tcPr>
            <w:tcW w:w="4678" w:type="dxa"/>
            <w:shd w:val="clear" w:color="auto" w:fill="auto"/>
          </w:tcPr>
          <w:p>
            <w:pPr>
              <w:spacing w:line="360" w:lineRule="atLeast"/>
              <w:ind w:left="459" w:right="-817"/>
              <w:jc w:val="center"/>
              <w:rPr>
                <w:sz w:val="28"/>
                <w:szCs w:val="28"/>
              </w:rPr>
            </w:pPr>
          </w:p>
        </w:tc>
      </w:tr>
    </w:tbl>
    <w:p>
      <w:pPr>
        <w:spacing w:line="360" w:lineRule="atLeast"/>
        <w:ind w:firstLine="709"/>
        <w:jc w:val="both"/>
        <w:rPr>
          <w:sz w:val="28"/>
          <w:szCs w:val="28"/>
        </w:rPr>
      </w:pPr>
      <w:bookmarkStart w:id="0" w:name="_GoBack"/>
      <w:bookmarkEnd w:id="0"/>
    </w:p>
    <w:p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Федеральное казначейство сообщает о расширении применения технологии перечисления денежных средств по реквизитам банковских карт «Мир» физических лиц на новые виды выплат, приведенные в приложении к настоящему письму.</w:t>
      </w:r>
    </w:p>
    <w:p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этой связи просим уведомить соответствующие уполномоченные органы, осуществляющие указанные выплаты, о возможности применения технологии перечисления денежных средств на банковские карты «Мир».</w:t>
      </w:r>
    </w:p>
    <w:p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 настройка информационных систем Федерального казначейства не требуется.</w:t>
      </w:r>
    </w:p>
    <w:p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Соответствующие изменения будут предусмотрены Порядком организации работы Федерального казначейства и его территориальных органов при осуществлении кассовых выплат за счет средств бюджетов бюджетной системы Российской Федерации на банковские карты «Мир» физических лиц, утвержденным приказом Казначейства России </w:t>
      </w:r>
      <w:r>
        <w:rPr>
          <w:sz w:val="28"/>
          <w:szCs w:val="28"/>
        </w:rPr>
        <w:br/>
        <w:t>от 18 августа 2017 года № 211, при очередном внесении изменений.</w:t>
      </w:r>
    </w:p>
    <w:p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обращаем внимание на допустимость перечисления единовременных денежных выплат участникам Программы добровольного переселения соотечественников в составе действующего вида выплаты 0428 «Единовременная материальная (финансовая) помощь».</w:t>
      </w:r>
    </w:p>
    <w:p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478"/>
      </w:tblGrid>
      <w:tr>
        <w:tc>
          <w:tcPr>
            <w:tcW w:w="1809" w:type="dxa"/>
          </w:tcPr>
          <w:p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Приложение:</w:t>
            </w:r>
          </w:p>
        </w:tc>
        <w:tc>
          <w:tcPr>
            <w:tcW w:w="7478" w:type="dxa"/>
          </w:tcPr>
          <w:p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1 л. в 1 экз.</w:t>
            </w:r>
          </w:p>
        </w:tc>
      </w:tr>
    </w:tbl>
    <w:p>
      <w:pPr>
        <w:spacing w:line="360" w:lineRule="exact"/>
        <w:jc w:val="both"/>
        <w:rPr>
          <w:sz w:val="28"/>
          <w:szCs w:val="28"/>
        </w:rPr>
      </w:pPr>
    </w:p>
    <w:p>
      <w:pPr>
        <w:spacing w:line="360" w:lineRule="exact"/>
        <w:jc w:val="right"/>
        <w:outlineLvl w:val="0"/>
        <w:rPr>
          <w:sz w:val="28"/>
          <w:szCs w:val="28"/>
        </w:rPr>
      </w:pPr>
      <w:r>
        <w:rPr>
          <w:bCs/>
          <w:noProof/>
          <w:color w:val="0062AC"/>
          <w:spacing w:val="4"/>
          <w:sz w:val="18"/>
          <w:szCs w:val="18"/>
        </w:rPr>
        <w:drawing>
          <wp:anchor distT="0" distB="0" distL="114300" distR="114300" simplePos="0" relativeHeight="251662336" behindDoc="0" locked="0" layoutInCell="0" allowOverlap="1">
            <wp:simplePos x="0" y="0"/>
            <wp:positionH relativeFrom="page">
              <wp:posOffset>2516505</wp:posOffset>
            </wp:positionH>
            <wp:positionV relativeFrom="page">
              <wp:posOffset>8827135</wp:posOffset>
            </wp:positionV>
            <wp:extent cx="2464435" cy="1056640"/>
            <wp:effectExtent l="0" t="0" r="0" b="0"/>
            <wp:wrapNone/>
            <wp:docPr id="1" name="#L@nDocs$t@mp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4435" cy="1056640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>Р.Е. </w:t>
      </w:r>
      <w:proofErr w:type="spellStart"/>
      <w:r>
        <w:rPr>
          <w:sz w:val="28"/>
          <w:szCs w:val="28"/>
        </w:rPr>
        <w:t>Артюхин</w:t>
      </w:r>
      <w:proofErr w:type="spellEnd"/>
    </w:p>
    <w:p>
      <w:pPr>
        <w:spacing w:line="360" w:lineRule="exact"/>
        <w:jc w:val="both"/>
        <w:outlineLvl w:val="0"/>
        <w:rPr>
          <w:sz w:val="28"/>
          <w:szCs w:val="28"/>
        </w:rPr>
      </w:pPr>
    </w:p>
    <w:p>
      <w:pPr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М.А. Бушина</w:t>
      </w:r>
    </w:p>
    <w:p>
      <w:pPr>
        <w:jc w:val="both"/>
        <w:outlineLvl w:val="0"/>
        <w:rPr>
          <w:b/>
          <w:sz w:val="28"/>
          <w:szCs w:val="28"/>
        </w:rPr>
      </w:pPr>
      <w:r>
        <w:rPr>
          <w:sz w:val="22"/>
          <w:szCs w:val="22"/>
        </w:rPr>
        <w:t>95005822</w:t>
      </w:r>
    </w:p>
    <w:sectPr>
      <w:headerReference w:type="default" r:id="rId9"/>
      <w:headerReference w:type="first" r:id="rId10"/>
      <w:pgSz w:w="11906" w:h="16838" w:code="9"/>
      <w:pgMar w:top="1418" w:right="1134" w:bottom="1361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4949075"/>
      <w:docPartObj>
        <w:docPartGallery w:val="Page Numbers (Top of Page)"/>
        <w:docPartUnique/>
      </w:docPartObj>
    </w:sdtPr>
    <w:sdtContent>
      <w:p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>
    <w:pPr>
      <w:pStyle w:val="a3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a3"/>
      <w:jc w:val="center"/>
    </w:pPr>
  </w:p>
  <w:p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B3672D"/>
    <w:multiLevelType w:val="hybridMultilevel"/>
    <w:tmpl w:val="065098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2B14CE"/>
    <w:multiLevelType w:val="hybridMultilevel"/>
    <w:tmpl w:val="8DFC8CD0"/>
    <w:lvl w:ilvl="0" w:tplc="A1BAD7B4">
      <w:start w:val="1"/>
      <w:numFmt w:val="bullet"/>
      <w:pStyle w:val="NSPK-Text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047F4E"/>
    <w:multiLevelType w:val="hybridMultilevel"/>
    <w:tmpl w:val="6B762A98"/>
    <w:lvl w:ilvl="0" w:tplc="91EA52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B6B2381"/>
    <w:multiLevelType w:val="hybridMultilevel"/>
    <w:tmpl w:val="0E3432A6"/>
    <w:lvl w:ilvl="0" w:tplc="F654AA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C6F0726"/>
    <w:multiLevelType w:val="hybridMultilevel"/>
    <w:tmpl w:val="0E3432A6"/>
    <w:lvl w:ilvl="0" w:tplc="F654AA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5:docId w15:val="{4E880871-4DAF-4BB0-B4CE-26877F74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Подраздел,3,H3,Minor Знак Знак,h:3,h,31,ITT t3,PA Minor Section,TE Heading,Title3,list,l3,Level 3 Head,h3,H31,H32,H33,H34,H35,título 3,subhead,1.,TF-Overskrift 3,Titre3,alltoc,Table3,3heading,Heading 3 - old,orderpara2,l31,32,l32,heading 3"/>
    <w:basedOn w:val="a"/>
    <w:next w:val="a"/>
    <w:link w:val="30"/>
    <w:uiPriority w:val="9"/>
    <w:unhideWhenUsed/>
    <w:qFormat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vcardnamesmall">
    <w:name w:val="vcard_name__small"/>
    <w:basedOn w:val="a"/>
    <w:pPr>
      <w:spacing w:before="100" w:beforeAutospacing="1" w:after="100" w:afterAutospacing="1"/>
    </w:pPr>
  </w:style>
  <w:style w:type="character" w:customStyle="1" w:styleId="30">
    <w:name w:val="Заголовок 3 Знак"/>
    <w:aliases w:val="Подраздел Знак,3 Знак,H3 Знак,Minor Знак Знак Знак,h:3 Знак,h Знак,31 Знак,ITT t3 Знак,PA Minor Section Знак,TE Heading Знак,Title3 Знак,list Знак,l3 Знак,Level 3 Head Знак,h3 Знак,H31 Знак,H32 Знак,H33 Знак,H34 Знак,H35 Знак,1. Знак"/>
    <w:basedOn w:val="a0"/>
    <w:link w:val="3"/>
    <w:uiPriority w:val="9"/>
    <w:rPr>
      <w:rFonts w:asciiTheme="majorHAnsi" w:eastAsiaTheme="majorEastAsia" w:hAnsiTheme="majorHAnsi" w:cstheme="majorBidi"/>
      <w:b/>
      <w:bCs/>
      <w:i/>
      <w:i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pPr>
      <w:ind w:left="720" w:right="459"/>
      <w:contextualSpacing/>
    </w:pPr>
    <w:rPr>
      <w:sz w:val="28"/>
    </w:rPr>
  </w:style>
  <w:style w:type="paragraph" w:styleId="a9">
    <w:name w:val="footnote text"/>
    <w:basedOn w:val="a"/>
    <w:link w:val="aa"/>
    <w:uiPriority w:val="99"/>
    <w:unhideWhenUsed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character" w:styleId="ac">
    <w:name w:val="Hyperlink"/>
    <w:rPr>
      <w:color w:val="0000FF"/>
      <w:u w:val="single"/>
    </w:rPr>
  </w:style>
  <w:style w:type="paragraph" w:customStyle="1" w:styleId="NSPK-TextBullet1">
    <w:name w:val="NSPK-Text Bullet 1"/>
    <w:basedOn w:val="a8"/>
    <w:link w:val="NSPK-TextBullet10"/>
    <w:qFormat/>
    <w:pPr>
      <w:numPr>
        <w:numId w:val="4"/>
      </w:numPr>
      <w:autoSpaceDE w:val="0"/>
      <w:autoSpaceDN w:val="0"/>
      <w:adjustRightInd w:val="0"/>
      <w:spacing w:after="120" w:line="360" w:lineRule="auto"/>
      <w:ind w:left="1474" w:right="0" w:hanging="340"/>
      <w:jc w:val="both"/>
    </w:pPr>
    <w:rPr>
      <w:sz w:val="24"/>
    </w:rPr>
  </w:style>
  <w:style w:type="character" w:customStyle="1" w:styleId="NSPK-TextBullet10">
    <w:name w:val="NSPK-Text Bullet 1 Знак"/>
    <w:basedOn w:val="a0"/>
    <w:link w:val="NSPK-TextBullet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6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626C5-ECF5-4142-A8DA-22D36C4CC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УБМ</dc:creator>
  <cp:lastModifiedBy>Сунатуллина Динара Рафиковна</cp:lastModifiedBy>
  <cp:revision>7</cp:revision>
  <cp:lastPrinted>2021-06-07T13:36:00Z</cp:lastPrinted>
  <dcterms:created xsi:type="dcterms:W3CDTF">2022-03-18T14:05:00Z</dcterms:created>
  <dcterms:modified xsi:type="dcterms:W3CDTF">2022-03-28T08:35:00Z</dcterms:modified>
</cp:coreProperties>
</file>