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4CE" w:rsidRPr="006D3BD4" w:rsidRDefault="00FB24CE" w:rsidP="00FC682E">
      <w:pPr>
        <w:pStyle w:val="1"/>
        <w:ind w:firstLine="0"/>
        <w:jc w:val="right"/>
        <w:rPr>
          <w:bCs/>
        </w:rPr>
      </w:pPr>
      <w:bookmarkStart w:id="0" w:name="_GoBack"/>
      <w:bookmarkEnd w:id="0"/>
    </w:p>
    <w:p w:rsidR="00772E56" w:rsidRDefault="00CA38EA">
      <w:pPr>
        <w:pStyle w:val="1"/>
        <w:spacing w:after="280"/>
        <w:ind w:firstLine="0"/>
        <w:jc w:val="center"/>
      </w:pPr>
      <w:r>
        <w:rPr>
          <w:b/>
          <w:bCs/>
        </w:rPr>
        <w:t>Основные новеллы в Методических рекомендациях по вопросам</w:t>
      </w:r>
      <w:r>
        <w:rPr>
          <w:b/>
          <w:bCs/>
        </w:rPr>
        <w:br/>
        <w:t>представления сведений о доходах, расходах, об имуществе и обязательствах</w:t>
      </w:r>
      <w:r>
        <w:rPr>
          <w:b/>
          <w:bCs/>
        </w:rPr>
        <w:br/>
        <w:t>имущественного характера и заполнения соответствующей формы справки</w:t>
      </w:r>
      <w:r>
        <w:rPr>
          <w:b/>
          <w:bCs/>
        </w:rPr>
        <w:br/>
        <w:t>в 2024 году (за отчетный 2023 год)</w:t>
      </w:r>
    </w:p>
    <w:p w:rsidR="00772E56" w:rsidRDefault="00CA38EA">
      <w:pPr>
        <w:pStyle w:val="1"/>
        <w:ind w:firstLine="720"/>
        <w:jc w:val="both"/>
      </w:pPr>
      <w:r>
        <w:t>Министерством труда и социальной защиты Российской Федерации ежегодно обновляются 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(далее соответственно - Методические рекомендации, сведения о доходах). Обновленная редакция Методических рекомендаций размещается на официальном сайте Минтруда России.</w:t>
      </w:r>
    </w:p>
    <w:p w:rsidR="00772E56" w:rsidRDefault="00CA38EA">
      <w:pPr>
        <w:pStyle w:val="1"/>
        <w:ind w:firstLine="720"/>
        <w:jc w:val="both"/>
      </w:pPr>
      <w:r>
        <w:t>Методические рекомендации для применения в ходе декларационной кампании 2024 года (за отчетный 2023 год) подготовлены Министерством при участии Администрации Президента Российской Федерации, Центрального банка Российской Федерации, Генеральной прокуратуры Российской Федерации и иных заинтересованных федеральных государственных органов.</w:t>
      </w:r>
    </w:p>
    <w:p w:rsidR="00772E56" w:rsidRDefault="00CA38EA">
      <w:pPr>
        <w:pStyle w:val="1"/>
        <w:ind w:firstLine="720"/>
        <w:jc w:val="both"/>
      </w:pPr>
      <w:r>
        <w:t>При использовании указанных Методических рекомендаций предлагается обратить внимание на следующие изменения.</w:t>
      </w:r>
    </w:p>
    <w:p w:rsidR="00772E56" w:rsidRDefault="00CA38EA">
      <w:pPr>
        <w:pStyle w:val="1"/>
        <w:numPr>
          <w:ilvl w:val="0"/>
          <w:numId w:val="1"/>
        </w:numPr>
        <w:tabs>
          <w:tab w:val="left" w:pos="1038"/>
        </w:tabs>
        <w:ind w:firstLine="720"/>
        <w:jc w:val="both"/>
      </w:pPr>
      <w:bookmarkStart w:id="1" w:name="bookmark0"/>
      <w:bookmarkEnd w:id="1"/>
      <w:r>
        <w:t>Отражены особенности, связанные с положениями Федерального закона от 6 февраля 2023 г. № 12-ФЗ "О внесении изменений в Федеральный закон "Об общих принципах организации публичной власти в субъектах Российской Федерации" и отдельные законодательные акты Российской Федерации", Указа Президента Российской Федерации от 6 декабря 2022 г. № 886 "Об особенностях замещения государственных и муниципальных должностей, должностей государственной и муниципальной службы на территориях Донецкой Народной Республики, Луганской Народной Республики, Запорожской области и Херсонской области", Указа Президента Российской Федерации от 29 декабря 2022 г. № 968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операции", а также Указа Президента Российской Федерации от 22 января 2024 г. № 61 "О федеральном кадровом резерве на государственной гражданской службе Российской Федерации".</w:t>
      </w:r>
    </w:p>
    <w:p w:rsidR="00772E56" w:rsidRDefault="00CA38EA">
      <w:pPr>
        <w:pStyle w:val="1"/>
        <w:numPr>
          <w:ilvl w:val="0"/>
          <w:numId w:val="1"/>
        </w:numPr>
        <w:tabs>
          <w:tab w:val="left" w:pos="1038"/>
        </w:tabs>
        <w:ind w:firstLine="720"/>
        <w:jc w:val="both"/>
      </w:pPr>
      <w:bookmarkStart w:id="2" w:name="bookmark1"/>
      <w:bookmarkEnd w:id="2"/>
      <w:r>
        <w:t xml:space="preserve">Отдельно указано, что дополнительные пояснения содержатся в иных инструктивно-методических материалах Минтруда России, например, Инструктивно-методических материалах по вопросам реализации Указа Президента Российской Федерации от 29 декабря 2022 г. № 968 "Об особенностях исполнения обязанностей, соблюдения ограничений и запретов в области противодействия коррупции некоторыми </w:t>
      </w:r>
      <w:r w:rsidRPr="00860986">
        <w:rPr>
          <w:color w:val="auto"/>
        </w:rPr>
        <w:t>категориями граждан в период проведения специальной военной операции" (</w:t>
      </w:r>
      <w:hyperlink r:id="rId7" w:history="1">
        <w:r w:rsidRPr="00860986">
          <w:rPr>
            <w:color w:val="auto"/>
            <w:u w:val="single"/>
          </w:rPr>
          <w:t>https://mintrud.gov.rU/ministry/programms/anticorruption/9/23</w:t>
        </w:r>
      </w:hyperlink>
      <w:r w:rsidRPr="00860986">
        <w:rPr>
          <w:color w:val="auto"/>
        </w:rPr>
        <w:t>), а также Обзоре правоприменительной практики в части невозможности представить по объективным и уважительным причинам сведения о доходах, расходах, об имуществе и обязательствах имущественного характера своих супруги (супруга) и несовершеннолетних детей (</w:t>
      </w:r>
      <w:hyperlink r:id="rId8" w:history="1">
        <w:r w:rsidRPr="00860986">
          <w:rPr>
            <w:color w:val="auto"/>
            <w:u w:val="single"/>
          </w:rPr>
          <w:t>https://mintrud.gov.rU/ministry/programms/anticorruption/9/24</w:t>
        </w:r>
      </w:hyperlink>
      <w:r w:rsidRPr="00860986">
        <w:rPr>
          <w:color w:val="auto"/>
        </w:rPr>
        <w:t>).</w:t>
      </w:r>
    </w:p>
    <w:p w:rsidR="00772E56" w:rsidRDefault="00CA38EA">
      <w:pPr>
        <w:pStyle w:val="1"/>
        <w:numPr>
          <w:ilvl w:val="0"/>
          <w:numId w:val="1"/>
        </w:numPr>
        <w:tabs>
          <w:tab w:val="left" w:pos="1065"/>
        </w:tabs>
        <w:ind w:firstLine="720"/>
        <w:jc w:val="both"/>
      </w:pPr>
      <w:bookmarkStart w:id="3" w:name="bookmark2"/>
      <w:bookmarkEnd w:id="3"/>
      <w:r>
        <w:t xml:space="preserve">Отмечена необходимость корректного указания отчетной даты, даты печати и представления справки о доходах, расходах, об имуществе и обязательствах </w:t>
      </w:r>
      <w:r>
        <w:lastRenderedPageBreak/>
        <w:t>имущественного характера, форма которой утверждена Указом Президента Российской Федерации от 23 июня 2014 г. № 460 (далее - справка).</w:t>
      </w:r>
    </w:p>
    <w:p w:rsidR="00772E56" w:rsidRDefault="00CA38EA">
      <w:pPr>
        <w:pStyle w:val="1"/>
        <w:numPr>
          <w:ilvl w:val="0"/>
          <w:numId w:val="1"/>
        </w:numPr>
        <w:tabs>
          <w:tab w:val="left" w:pos="1060"/>
        </w:tabs>
        <w:ind w:firstLine="720"/>
        <w:jc w:val="both"/>
      </w:pPr>
      <w:bookmarkStart w:id="4" w:name="bookmark3"/>
      <w:bookmarkEnd w:id="4"/>
      <w:r>
        <w:t>Добавлен перечень рекомендуемых действий при невозможности представить сведения о доходах вследствие не зависящих от служащего (работника) обстоятельств.</w:t>
      </w:r>
    </w:p>
    <w:p w:rsidR="00772E56" w:rsidRDefault="00CA38EA">
      <w:pPr>
        <w:pStyle w:val="1"/>
        <w:numPr>
          <w:ilvl w:val="0"/>
          <w:numId w:val="1"/>
        </w:numPr>
        <w:tabs>
          <w:tab w:val="left" w:pos="1080"/>
        </w:tabs>
        <w:ind w:firstLine="720"/>
        <w:jc w:val="both"/>
      </w:pPr>
      <w:bookmarkStart w:id="5" w:name="bookmark4"/>
      <w:bookmarkEnd w:id="5"/>
      <w:r>
        <w:t>Предусмотрено допустимое отражение информации о должностях супругов, замещающих должности военной службы.</w:t>
      </w:r>
    </w:p>
    <w:p w:rsidR="00772E56" w:rsidRDefault="00CA38EA">
      <w:pPr>
        <w:pStyle w:val="1"/>
        <w:numPr>
          <w:ilvl w:val="0"/>
          <w:numId w:val="1"/>
        </w:numPr>
        <w:tabs>
          <w:tab w:val="left" w:pos="1065"/>
        </w:tabs>
        <w:ind w:firstLine="720"/>
        <w:jc w:val="both"/>
      </w:pPr>
      <w:bookmarkStart w:id="6" w:name="bookmark5"/>
      <w:bookmarkEnd w:id="6"/>
      <w:r>
        <w:t>Указаны особенности отражения дохода лица, зарегистрированного в качестве индивидуального предпринимателя и применяющего несколько специальных налоговых режимов.</w:t>
      </w:r>
    </w:p>
    <w:p w:rsidR="00772E56" w:rsidRDefault="00CA38EA">
      <w:pPr>
        <w:pStyle w:val="1"/>
        <w:numPr>
          <w:ilvl w:val="0"/>
          <w:numId w:val="1"/>
        </w:numPr>
        <w:tabs>
          <w:tab w:val="left" w:pos="1070"/>
        </w:tabs>
        <w:ind w:firstLine="720"/>
        <w:jc w:val="both"/>
      </w:pPr>
      <w:bookmarkStart w:id="7" w:name="bookmark6"/>
      <w:bookmarkEnd w:id="7"/>
      <w:r>
        <w:t xml:space="preserve">Отмечено, что не подлежат отражению в справке сведения, содержащиеся в информации, полученной в рамках Указания Банка России от 27 мая 2021 г. № 5798-У "О порядке предоставления кредитными организациями и </w:t>
      </w:r>
      <w:proofErr w:type="spellStart"/>
      <w:r>
        <w:t>некредитными</w:t>
      </w:r>
      <w:proofErr w:type="spellEnd"/>
      <w:r>
        <w:t xml:space="preserve"> финансовыми организациями гражданам сведений о наличии счетов и иной информации, необходимой для представления гражданами сведений о доходах, расходах, об имуществе и обязательствах имущественного характера, о единой форме предоставления сведений и порядке ее заполнения", о денежных средствах, выплаченных при закрытии вклада (счета), в том числе вклада (счета) в драгоценных металлах, за исключением процентов по вкладу (счету).</w:t>
      </w:r>
    </w:p>
    <w:p w:rsidR="00772E56" w:rsidRDefault="00CA38EA">
      <w:pPr>
        <w:pStyle w:val="1"/>
        <w:numPr>
          <w:ilvl w:val="0"/>
          <w:numId w:val="1"/>
        </w:numPr>
        <w:tabs>
          <w:tab w:val="left" w:pos="1075"/>
        </w:tabs>
        <w:ind w:firstLine="720"/>
        <w:jc w:val="both"/>
      </w:pPr>
      <w:bookmarkStart w:id="8" w:name="bookmark7"/>
      <w:bookmarkEnd w:id="8"/>
      <w:r>
        <w:t>Подчеркнуто, что в графе "Сумма сделки (руб.)" раздела 2 справки указывается сумма сделки в рублях, а в случае если расходы по сделке выражены в иностранной валюте, то осуществляется перевод в рубли по курсу, установленному Банком России, на дату совершения сделки.</w:t>
      </w:r>
    </w:p>
    <w:p w:rsidR="00772E56" w:rsidRDefault="00CA38EA">
      <w:pPr>
        <w:pStyle w:val="1"/>
        <w:numPr>
          <w:ilvl w:val="0"/>
          <w:numId w:val="1"/>
        </w:numPr>
        <w:tabs>
          <w:tab w:val="left" w:pos="1060"/>
        </w:tabs>
        <w:ind w:firstLine="720"/>
        <w:jc w:val="both"/>
      </w:pPr>
      <w:bookmarkStart w:id="9" w:name="bookmark8"/>
      <w:bookmarkEnd w:id="9"/>
      <w:r>
        <w:t>Указано на необходимость отражения в разделе 4 справки именно счетов, а не карт, а также на особенность отражения счетов, открытых в иностранных банках.</w:t>
      </w:r>
    </w:p>
    <w:p w:rsidR="00772E56" w:rsidRDefault="00CA38EA">
      <w:pPr>
        <w:pStyle w:val="1"/>
        <w:numPr>
          <w:ilvl w:val="0"/>
          <w:numId w:val="1"/>
        </w:numPr>
        <w:tabs>
          <w:tab w:val="left" w:pos="1180"/>
        </w:tabs>
        <w:ind w:firstLine="720"/>
        <w:jc w:val="both"/>
      </w:pPr>
      <w:bookmarkStart w:id="10" w:name="bookmark9"/>
      <w:bookmarkEnd w:id="10"/>
      <w:r>
        <w:t>Определены особенности отражения счета цифрового рубля.</w:t>
      </w:r>
    </w:p>
    <w:p w:rsidR="00772E56" w:rsidRDefault="00CA38EA">
      <w:pPr>
        <w:pStyle w:val="1"/>
        <w:numPr>
          <w:ilvl w:val="0"/>
          <w:numId w:val="1"/>
        </w:numPr>
        <w:tabs>
          <w:tab w:val="left" w:pos="1204"/>
        </w:tabs>
        <w:ind w:firstLine="720"/>
        <w:jc w:val="both"/>
      </w:pPr>
      <w:bookmarkStart w:id="11" w:name="bookmark10"/>
      <w:bookmarkEnd w:id="11"/>
      <w:r>
        <w:t>Скорректирована информация о порядке заполнения графы "Сумма поступивших на счет денежных средств" раздела 4 справки в соответствии с Указом Президента Российской Федерации от 25 января 2024 г. № 71 "О внесении изменений в некоторые акты Президента Российской Федерации".</w:t>
      </w:r>
    </w:p>
    <w:p w:rsidR="00772E56" w:rsidRDefault="00CA38EA">
      <w:pPr>
        <w:pStyle w:val="1"/>
        <w:numPr>
          <w:ilvl w:val="0"/>
          <w:numId w:val="1"/>
        </w:numPr>
        <w:tabs>
          <w:tab w:val="left" w:pos="1204"/>
        </w:tabs>
        <w:ind w:firstLine="720"/>
        <w:jc w:val="both"/>
      </w:pPr>
      <w:bookmarkStart w:id="12" w:name="bookmark11"/>
      <w:bookmarkEnd w:id="12"/>
      <w:r>
        <w:t>Указано на отсутствие необходимости отражать в разделе 4 справки электронные средства платежа.</w:t>
      </w:r>
    </w:p>
    <w:p w:rsidR="00772E56" w:rsidRDefault="00CA38EA">
      <w:pPr>
        <w:pStyle w:val="1"/>
        <w:numPr>
          <w:ilvl w:val="0"/>
          <w:numId w:val="1"/>
        </w:numPr>
        <w:tabs>
          <w:tab w:val="left" w:pos="1199"/>
        </w:tabs>
        <w:ind w:firstLine="720"/>
        <w:jc w:val="both"/>
      </w:pPr>
      <w:bookmarkStart w:id="13" w:name="bookmark12"/>
      <w:bookmarkEnd w:id="13"/>
      <w:r>
        <w:t>Обращено внимание, что в графе "Сумма обязательства/размер обязательства по состоянию на отчетную дату (руб.)" раздела 6.2 справки в случае отражения информации об участии в долевом строительстве объекта недвижимости рекомендуется указывать полные суммы, предусмотренные заключенным договором долевого участия.</w:t>
      </w:r>
    </w:p>
    <w:p w:rsidR="00772E56" w:rsidRDefault="00CA38EA" w:rsidP="00860986">
      <w:pPr>
        <w:pStyle w:val="1"/>
        <w:numPr>
          <w:ilvl w:val="0"/>
          <w:numId w:val="1"/>
        </w:numPr>
        <w:tabs>
          <w:tab w:val="left" w:pos="1199"/>
        </w:tabs>
        <w:spacing w:after="640"/>
        <w:ind w:firstLine="720"/>
        <w:jc w:val="both"/>
      </w:pPr>
      <w:bookmarkStart w:id="14" w:name="bookmark13"/>
      <w:bookmarkEnd w:id="14"/>
      <w:r>
        <w:t>Актуализированы иные положения с учетом изменений нормативных правовых актов Российской Федерации</w:t>
      </w:r>
      <w:r w:rsidR="00860986">
        <w:t>.</w:t>
      </w:r>
    </w:p>
    <w:sectPr w:rsidR="00772E56">
      <w:headerReference w:type="even" r:id="rId9"/>
      <w:headerReference w:type="default" r:id="rId10"/>
      <w:pgSz w:w="11900" w:h="16840"/>
      <w:pgMar w:top="1104" w:right="531" w:bottom="378" w:left="1101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644F" w:rsidRDefault="0029644F">
      <w:r>
        <w:separator/>
      </w:r>
    </w:p>
  </w:endnote>
  <w:endnote w:type="continuationSeparator" w:id="0">
    <w:p w:rsidR="0029644F" w:rsidRDefault="00296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644F" w:rsidRDefault="0029644F"/>
  </w:footnote>
  <w:footnote w:type="continuationSeparator" w:id="0">
    <w:p w:rsidR="0029644F" w:rsidRDefault="0029644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2E56" w:rsidRDefault="00CA38E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3915410</wp:posOffset>
              </wp:positionH>
              <wp:positionV relativeFrom="page">
                <wp:posOffset>331470</wp:posOffset>
              </wp:positionV>
              <wp:extent cx="78740" cy="121285"/>
              <wp:effectExtent l="0" t="0" r="0" b="0"/>
              <wp:wrapNone/>
              <wp:docPr id="4" name="Shap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740" cy="1212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72E56" w:rsidRDefault="00CA38EA">
                          <w:pPr>
                            <w:pStyle w:val="2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" o:spid="_x0000_s1026" type="#_x0000_t202" style="position:absolute;margin-left:308.3pt;margin-top:26.1pt;width:6.2pt;height:9.5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qR1kwEAACADAAAOAAAAZHJzL2Uyb0RvYy54bWysUsFOwzAMvSPxD1HurNs0YKrWIRAaQkKA&#10;BHxAliZrpCaO4mzt/h4n6waCG+LiOrb7/PzsxU1vW7ZTAQ24ik9GY86Uk1Abt6n4x/vqYs4ZRuFq&#10;0YJTFd8r5DfL87NF50s1hQbaWgVGIA7Lzle8idGXRYGyUVbgCLxylNQQrIj0DJuiDqIjdNsW0/H4&#10;qugg1D6AVIgUvT8k+TLja61kfNEaVWRtxYlbzDZku062WC5EuQnCN0YONMQfWFhhHDU9Qd2LKNg2&#10;mF9Q1sgACDqOJNgCtDZS5Rlomsn4xzRvjfAqz0LioD/JhP8HK593r4GZuuIzzpywtKLclc2SNJ3H&#10;kirePNXE/g56WvExjhRME/c62PSlWRjlSeT9SVjVRyYpeD2/nlFCUmYynUznlwmk+PrXB4wPCixL&#10;TsUDrS2rKXZPGA+lx5LUysHKtG2KJ4IHIsmL/bofWK+h3hPpjjZbcUenx1n76Ei4dARHJxyd9eAk&#10;cPS320gNct+EeoAamtEaMvPhZNKev79z1ddhLz8BAAD//wMAUEsDBBQABgAIAAAAIQDLBpwp3AAA&#10;AAkBAAAPAAAAZHJzL2Rvd25yZXYueG1sTI/LTsMwEEX3SPyDNUjsqJMgTEnjVKgSG3aUComdG0/j&#10;qH5Etpsmf8+wguVojs69t9nOzrIJYxqCl1CuCmDou6AH30s4fL49rIGlrLxWNniUsGCCbXt706ha&#10;h6v/wGmfe0YSn2olweQ81pynzqBTaRVG9PQ7hehUpjP2XEd1JbmzvCoKwZ0aPCUYNeLOYHfeX5yE&#10;5/kr4Jhwh9+nqYtmWNb2fZHy/m5+3QDLOOc/GH7rU3VoqdMxXLxOzEoQpRCESniqKmAEiOqFxh3J&#10;Xj4Cbxv+f0H7AwAA//8DAFBLAQItABQABgAIAAAAIQC2gziS/gAAAOEBAAATAAAAAAAAAAAAAAAA&#10;AAAAAABbQ29udGVudF9UeXBlc10ueG1sUEsBAi0AFAAGAAgAAAAhADj9If/WAAAAlAEAAAsAAAAA&#10;AAAAAAAAAAAALwEAAF9yZWxzLy5yZWxzUEsBAi0AFAAGAAgAAAAhAKaqpHWTAQAAIAMAAA4AAAAA&#10;AAAAAAAAAAAALgIAAGRycy9lMm9Eb2MueG1sUEsBAi0AFAAGAAgAAAAhAMsGnCncAAAACQEAAA8A&#10;AAAAAAAAAAAAAAAA7QMAAGRycy9kb3ducmV2LnhtbFBLBQYAAAAABAAEAPMAAAD2BAAAAAA=&#10;" filled="f" stroked="f">
              <v:textbox style="mso-fit-shape-to-text:t" inset="0,0,0,0">
                <w:txbxContent>
                  <w:p w:rsidR="00772E56" w:rsidRDefault="00CA38EA">
                    <w:pPr>
                      <w:pStyle w:val="20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2E56" w:rsidRDefault="00772E56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2F6F78"/>
    <w:multiLevelType w:val="multilevel"/>
    <w:tmpl w:val="2B3267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E56"/>
    <w:rsid w:val="001B7C81"/>
    <w:rsid w:val="0029644F"/>
    <w:rsid w:val="00693DA5"/>
    <w:rsid w:val="006D3BD4"/>
    <w:rsid w:val="00772E56"/>
    <w:rsid w:val="00860986"/>
    <w:rsid w:val="00CA38EA"/>
    <w:rsid w:val="00DA76EC"/>
    <w:rsid w:val="00FB24CE"/>
    <w:rsid w:val="00FC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4E1C6C5-5EF1-4D17-B858-42729BD5F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картинке"/>
    <w:basedOn w:val="a"/>
    <w:link w:val="a4"/>
    <w:pPr>
      <w:spacing w:line="254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Основной текст (2)"/>
    <w:basedOn w:val="a"/>
    <w:link w:val="21"/>
    <w:pPr>
      <w:spacing w:after="40"/>
      <w:ind w:left="4680"/>
    </w:pPr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5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trud.gov.ru/ministry/programms/anticorruption/9/2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intrud.gov.ru/ministry/programms/anticorruption/9/2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Kadri-ПК1</dc:creator>
  <cp:lastModifiedBy>Косачёва Наталья Валентиновна</cp:lastModifiedBy>
  <cp:revision>7</cp:revision>
  <dcterms:created xsi:type="dcterms:W3CDTF">2024-02-14T11:17:00Z</dcterms:created>
  <dcterms:modified xsi:type="dcterms:W3CDTF">2024-04-18T07:57:00Z</dcterms:modified>
</cp:coreProperties>
</file>